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jc w:val="center"/>
        <w:rPr>
          <w:sz w:val="26"/>
          <w:szCs w:val="26"/>
        </w:rPr>
      </w:pPr>
      <w:r>
        <w:rPr>
          <w:rFonts w:ascii="Times New Roman" w:hAnsi="Times New Roman"/>
          <w:b/>
          <w:bCs/>
          <w:sz w:val="26"/>
          <w:szCs w:val="26"/>
          <w:lang w:val="uk-UA"/>
        </w:rPr>
        <w:t>ВИТЯГ</w:t>
      </w:r>
    </w:p>
    <w:p>
      <w:pPr>
        <w:pStyle w:val="BodyText"/>
        <w:spacing w:lineRule="auto" w:line="240" w:before="0" w:after="0"/>
        <w:jc w:val="center"/>
        <w:rPr>
          <w:rFonts w:ascii="Times New Roman" w:hAnsi="Times New Roman"/>
          <w:b/>
          <w:bCs/>
          <w:sz w:val="26"/>
          <w:szCs w:val="26"/>
          <w:lang w:val="uk-UA"/>
        </w:rPr>
      </w:pPr>
      <w:r>
        <w:rPr>
          <w:rFonts w:ascii="Times New Roman" w:hAnsi="Times New Roman"/>
          <w:b/>
          <w:bCs/>
          <w:sz w:val="26"/>
          <w:szCs w:val="26"/>
          <w:lang w:val="uk-UA"/>
        </w:rPr>
        <w:t>із зведеного плану діяльності з внутрішнього аудиту на 2026-2028 роки</w:t>
      </w:r>
    </w:p>
    <w:p>
      <w:pPr>
        <w:pStyle w:val="BodyText"/>
        <w:spacing w:lineRule="auto" w:line="240" w:before="0" w:after="57"/>
        <w:jc w:val="center"/>
        <w:rPr>
          <w:rFonts w:ascii="Times New Roman" w:hAnsi="Times New Roman"/>
          <w:b/>
          <w:bCs/>
          <w:sz w:val="26"/>
          <w:szCs w:val="26"/>
          <w:lang w:val="uk-UA"/>
        </w:rPr>
      </w:pPr>
      <w:r>
        <w:rPr>
          <w:rFonts w:ascii="Times New Roman" w:hAnsi="Times New Roman"/>
          <w:b/>
          <w:bCs/>
          <w:sz w:val="26"/>
          <w:szCs w:val="26"/>
          <w:lang w:val="uk-UA"/>
        </w:rPr>
        <w:t xml:space="preserve">  </w:t>
      </w:r>
      <w:r>
        <w:rPr>
          <w:rFonts w:ascii="Times New Roman" w:hAnsi="Times New Roman"/>
          <w:b/>
          <w:bCs/>
          <w:sz w:val="26"/>
          <w:szCs w:val="26"/>
          <w:lang w:val="uk-UA"/>
        </w:rPr>
        <w:t xml:space="preserve">Пенсійного фонду України </w:t>
      </w:r>
    </w:p>
    <w:p>
      <w:pPr>
        <w:pStyle w:val="BodyText"/>
        <w:spacing w:lineRule="auto" w:line="240" w:before="0" w:after="0"/>
        <w:jc w:val="center"/>
        <w:rPr>
          <w:rFonts w:ascii="Times New Roman" w:hAnsi="Times New Roman"/>
          <w:b/>
          <w:bCs/>
          <w:sz w:val="24"/>
          <w:szCs w:val="24"/>
          <w:lang w:val="uk-UA"/>
        </w:rPr>
      </w:pPr>
      <w:r>
        <w:rPr>
          <w:rFonts w:ascii="Times New Roman" w:hAnsi="Times New Roman"/>
          <w:b/>
          <w:bCs/>
          <w:sz w:val="24"/>
          <w:szCs w:val="24"/>
          <w:lang w:val="uk-UA"/>
        </w:rPr>
        <w:t>(по Головному управлінню Пенсійного фонду України в Одеській області)</w:t>
      </w:r>
    </w:p>
    <w:p>
      <w:pPr>
        <w:pStyle w:val="BodyText"/>
        <w:spacing w:lineRule="auto" w:line="240" w:before="0" w:after="0"/>
        <w:jc w:val="center"/>
        <w:rPr>
          <w:rFonts w:ascii="Times New Roman" w:hAnsi="Times New Roman"/>
          <w:b/>
          <w:bCs/>
          <w:sz w:val="26"/>
          <w:szCs w:val="26"/>
          <w:lang w:val="uk-UA"/>
        </w:rPr>
      </w:pPr>
      <w:r>
        <w:rPr>
          <w:rFonts w:ascii="Times New Roman" w:hAnsi="Times New Roman"/>
          <w:b/>
          <w:bCs/>
          <w:sz w:val="26"/>
          <w:szCs w:val="26"/>
          <w:lang w:val="uk-UA"/>
        </w:rPr>
      </w:r>
    </w:p>
    <w:p>
      <w:pPr>
        <w:pStyle w:val="Normal"/>
        <w:ind w:hanging="0"/>
        <w:jc w:val="both"/>
        <w:rPr>
          <w:sz w:val="26"/>
          <w:szCs w:val="26"/>
        </w:rPr>
      </w:pPr>
      <w:r>
        <w:rPr>
          <w:rFonts w:eastAsia="Times New Roman" w:cs="Times New Roman" w:ascii="Times New Roman" w:hAnsi="Times New Roman"/>
          <w:b/>
          <w:bCs/>
          <w:sz w:val="26"/>
          <w:szCs w:val="26"/>
          <w:lang w:val="en-US"/>
        </w:rPr>
        <w:t>V</w:t>
      </w:r>
      <w:r>
        <w:rPr>
          <w:rFonts w:eastAsia="Times New Roman" w:cs="Times New Roman" w:ascii="Times New Roman" w:hAnsi="Times New Roman"/>
          <w:b/>
          <w:bCs/>
          <w:sz w:val="26"/>
          <w:szCs w:val="26"/>
          <w:lang w:val="uk-UA"/>
        </w:rPr>
        <w:t>. ЗДІЙСНЕННЯ ВНУТРІШНІХ АУДИТІВ У 2026 РОЦІ (за результатами оцінки ризиків)</w:t>
      </w:r>
    </w:p>
    <w:tbl>
      <w:tblPr>
        <w:tblW w:w="14550" w:type="dxa"/>
        <w:jc w:val="left"/>
        <w:tblInd w:w="221" w:type="dxa"/>
        <w:tblLayout w:type="fixed"/>
        <w:tblCellMar>
          <w:top w:w="0" w:type="dxa"/>
          <w:left w:w="108" w:type="dxa"/>
          <w:bottom w:w="0" w:type="dxa"/>
          <w:right w:w="108" w:type="dxa"/>
        </w:tblCellMar>
        <w:tblLook w:firstRow="1" w:noVBand="1" w:lastRow="0" w:firstColumn="1" w:lastColumn="0" w:noHBand="0" w:val="04a0"/>
      </w:tblPr>
      <w:tblGrid>
        <w:gridCol w:w="675"/>
        <w:gridCol w:w="2744"/>
        <w:gridCol w:w="3166"/>
        <w:gridCol w:w="2929"/>
        <w:gridCol w:w="2159"/>
        <w:gridCol w:w="1589"/>
        <w:gridCol w:w="1288"/>
      </w:tblGrid>
      <w:tr>
        <w:trPr/>
        <w:tc>
          <w:tcPr>
            <w:tcW w:w="675"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color w:val="000000"/>
                <w:sz w:val="22"/>
                <w:szCs w:val="22"/>
              </w:rPr>
              <w:t xml:space="preserve">№ </w:t>
            </w:r>
            <w:r>
              <w:rPr>
                <w:rFonts w:eastAsia="Times New Roman" w:cs="Times New Roman" w:ascii="Times New Roman" w:hAnsi="Times New Roman"/>
                <w:b/>
                <w:color w:val="000000"/>
                <w:sz w:val="22"/>
                <w:szCs w:val="22"/>
              </w:rPr>
              <w:t>з/п</w:t>
            </w:r>
          </w:p>
        </w:tc>
        <w:tc>
          <w:tcPr>
            <w:tcW w:w="2744"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color w:val="000000"/>
                <w:sz w:val="22"/>
                <w:szCs w:val="22"/>
                <w:lang w:val="uk-UA"/>
              </w:rPr>
              <w:t>Пріоритетний об’єкт внутрішнього аудиту</w:t>
            </w:r>
          </w:p>
        </w:tc>
        <w:tc>
          <w:tcPr>
            <w:tcW w:w="3166"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sz w:val="22"/>
                <w:szCs w:val="22"/>
                <w:lang w:val="uk-UA"/>
              </w:rPr>
              <w:t>Орієнтовний обсяг дослідження</w:t>
            </w:r>
          </w:p>
        </w:tc>
        <w:tc>
          <w:tcPr>
            <w:tcW w:w="2929"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color w:val="000000"/>
                <w:sz w:val="22"/>
                <w:szCs w:val="22"/>
                <w:lang w:val="uk-UA"/>
              </w:rPr>
              <w:t>Назва структурного підрозділу/установи/ підприємства/організації, в якій здійснюватиметься внутрішній аудит</w:t>
            </w:r>
          </w:p>
        </w:tc>
        <w:tc>
          <w:tcPr>
            <w:tcW w:w="2159" w:type="dxa"/>
            <w:tcBorders>
              <w:top w:val="single" w:sz="4" w:space="0" w:color="595959"/>
              <w:left w:val="single" w:sz="4" w:space="0" w:color="595959"/>
              <w:bottom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color w:val="000000"/>
                <w:kern w:val="2"/>
                <w:sz w:val="22"/>
                <w:szCs w:val="22"/>
                <w:lang w:val="uk-UA" w:eastAsia="zh-CN" w:bidi="hi-IN"/>
              </w:rPr>
              <w:t>Назва підрозділу внутрішнього аудиту, якій проводитиме дослідження</w:t>
            </w:r>
          </w:p>
        </w:tc>
        <w:tc>
          <w:tcPr>
            <w:tcW w:w="1589"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color w:val="000000"/>
                <w:sz w:val="22"/>
                <w:szCs w:val="22"/>
                <w:lang w:val="uk-UA"/>
              </w:rPr>
              <w:t>Період, що охоплюється внутрішнім аудитом</w:t>
            </w:r>
          </w:p>
        </w:tc>
        <w:tc>
          <w:tcPr>
            <w:tcW w:w="1288"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rFonts w:ascii="Times New Roman" w:hAnsi="Times New Roman"/>
                <w:sz w:val="22"/>
                <w:szCs w:val="22"/>
              </w:rPr>
            </w:pPr>
            <w:r>
              <w:rPr>
                <w:rFonts w:eastAsia="Times New Roman" w:cs="Times New Roman" w:ascii="Times New Roman" w:hAnsi="Times New Roman"/>
                <w:b/>
                <w:color w:val="000000"/>
                <w:sz w:val="22"/>
                <w:szCs w:val="22"/>
                <w:lang w:val="uk-UA"/>
              </w:rPr>
              <w:t>Термін здійснення внутрішнього аудиту</w:t>
            </w:r>
          </w:p>
        </w:tc>
      </w:tr>
      <w:tr>
        <w:trPr/>
        <w:tc>
          <w:tcPr>
            <w:tcW w:w="675"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rPr>
              <w:t>1</w:t>
            </w:r>
          </w:p>
        </w:tc>
        <w:tc>
          <w:tcPr>
            <w:tcW w:w="2744"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rPr>
              <w:t>2</w:t>
            </w:r>
          </w:p>
        </w:tc>
        <w:tc>
          <w:tcPr>
            <w:tcW w:w="3166"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rPr>
              <w:t>3</w:t>
            </w:r>
          </w:p>
        </w:tc>
        <w:tc>
          <w:tcPr>
            <w:tcW w:w="2929"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rPr>
              <w:t>4</w:t>
            </w:r>
          </w:p>
        </w:tc>
        <w:tc>
          <w:tcPr>
            <w:tcW w:w="2159" w:type="dxa"/>
            <w:tcBorders>
              <w:top w:val="single" w:sz="4" w:space="0" w:color="595959"/>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5</w:t>
            </w:r>
          </w:p>
        </w:tc>
        <w:tc>
          <w:tcPr>
            <w:tcW w:w="1589"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lang w:val="uk-UA"/>
              </w:rPr>
              <w:t>6</w:t>
            </w:r>
          </w:p>
        </w:tc>
        <w:tc>
          <w:tcPr>
            <w:tcW w:w="1288"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lang w:val="uk-UA"/>
              </w:rPr>
              <w:t>7</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sz w:val="22"/>
                <w:szCs w:val="22"/>
                <w:shd w:fill="auto" w:val="clear"/>
                <w:lang w:val="uk-UA"/>
              </w:rPr>
              <w:t>5.</w:t>
            </w:r>
          </w:p>
        </w:tc>
        <w:tc>
          <w:tcPr>
            <w:tcW w:w="2744"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Додержання порядку надання закладам, підприємствам, установам, організаціям незалежно від форми власності, фізичним особам- підприємцям компенсації за спожиті житлово-комунальні послуги, придбання скрапленого газу, твердого та рідкого пічного побутового палива під час тимчасового розміщення у будівлях, спорудах, приміщеннях на безоплатній основі внутрішньо переміщених осіб</w:t>
            </w:r>
          </w:p>
        </w:tc>
        <w:tc>
          <w:tcPr>
            <w:tcW w:w="3166"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113"/>
              <w:jc w:val="center"/>
              <w:rPr>
                <w:rFonts w:ascii="Times New Roman" w:hAnsi="Times New Roman"/>
                <w:sz w:val="22"/>
                <w:szCs w:val="22"/>
                <w:lang w:val="uk-UA" w:eastAsia="zh-CN" w:bidi="hi-IN"/>
              </w:rPr>
            </w:pPr>
            <w:r>
              <w:rPr>
                <w:rFonts w:eastAsia="Times New Roman" w:cs="Times New Roman" w:ascii="Times New Roman" w:hAnsi="Times New Roman"/>
                <w:color w:val="000000"/>
                <w:sz w:val="22"/>
                <w:szCs w:val="22"/>
                <w:shd w:fill="auto" w:val="clear"/>
                <w:lang w:val="uk-UA" w:eastAsia="zh-CN" w:bidi="hi-IN"/>
              </w:rPr>
              <w:t xml:space="preserve">Оцінка ефективності організації роботи щодо </w:t>
            </w:r>
            <w:r>
              <w:rPr>
                <w:rFonts w:ascii="Times New Roman" w:hAnsi="Times New Roman"/>
                <w:color w:val="000000"/>
                <w:sz w:val="22"/>
                <w:szCs w:val="22"/>
                <w:shd w:fill="auto" w:val="clear"/>
                <w:lang w:val="uk-UA" w:eastAsia="zh-CN" w:bidi="hi-IN"/>
              </w:rPr>
              <w:t>надання закладам, підприємствам, установам, організаціям незалежно від форми власності, фізичним особам- підприємцям компенсації за спожиті житлово-комунальні послуги, придбання скрапленого газу, твердого та рідкого пічного побутового палива під час тимчасового розміщення у будівлях, спорудах, приміщеннях на безоплатній основі внутрішньо переміщених осіб</w:t>
            </w:r>
          </w:p>
          <w:p>
            <w:pPr>
              <w:pStyle w:val="Normal"/>
              <w:widowControl w:val="false"/>
              <w:spacing w:lineRule="auto" w:line="240" w:before="0" w:after="0"/>
              <w:jc w:val="center"/>
              <w:rPr>
                <w:shd w:fill="auto" w:val="clear"/>
              </w:rPr>
            </w:pPr>
            <w:r>
              <w:rPr>
                <w:shd w:fill="auto" w:val="clear"/>
              </w:rPr>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929"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 xml:space="preserve">Управління </w:t>
            </w:r>
            <w:r>
              <w:rPr>
                <w:rFonts w:cs="Times New Roman" w:ascii="Times New Roman" w:hAnsi="Times New Roman"/>
                <w:color w:val="000000"/>
                <w:sz w:val="22"/>
                <w:szCs w:val="22"/>
                <w:shd w:fill="auto" w:val="clear"/>
                <w:lang w:val="uk-UA" w:eastAsia="zh-CN" w:bidi="hi-IN"/>
              </w:rPr>
              <w:t>субсидій, пільг та державних соціальних допомог</w:t>
            </w:r>
            <w:r>
              <w:rPr>
                <w:rFonts w:ascii="Times New Roman" w:hAnsi="Times New Roman"/>
                <w:color w:val="000000"/>
                <w:sz w:val="22"/>
                <w:szCs w:val="22"/>
                <w:shd w:fill="auto" w:val="clear"/>
                <w:lang w:val="uk-UA" w:eastAsia="zh-CN" w:bidi="hi-IN"/>
              </w:rPr>
              <w:t>; управління обслуговування громадян; управління з питань виплат в Головному управлінні Пенсійного фонду України в Одеській області</w:t>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01.07.2025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ІV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b w:val="false"/>
                <w:bCs w:val="false"/>
                <w:color w:val="000000"/>
                <w:sz w:val="22"/>
                <w:szCs w:val="22"/>
                <w:shd w:fill="auto" w:val="clear"/>
                <w:lang w:val="uk-UA"/>
              </w:rPr>
              <w:t>6.</w:t>
            </w:r>
          </w:p>
        </w:tc>
        <w:tc>
          <w:tcPr>
            <w:tcW w:w="2744"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Дотримання законодавства та порядку надання державної допомоги на проживання внутрішньо переміщеним особам</w:t>
            </w:r>
          </w:p>
        </w:tc>
        <w:tc>
          <w:tcPr>
            <w:tcW w:w="3166"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113"/>
              <w:jc w:val="center"/>
              <w:rPr>
                <w:rFonts w:ascii="Times New Roman" w:hAnsi="Times New Roman"/>
                <w:sz w:val="22"/>
                <w:szCs w:val="22"/>
                <w:lang w:val="uk-UA" w:eastAsia="zh-CN" w:bidi="hi-IN"/>
              </w:rPr>
            </w:pPr>
            <w:r>
              <w:rPr>
                <w:rFonts w:eastAsia="Times New Roman" w:cs="Times New Roman" w:ascii="Times New Roman" w:hAnsi="Times New Roman"/>
                <w:color w:val="000000"/>
                <w:sz w:val="22"/>
                <w:szCs w:val="22"/>
                <w:shd w:fill="auto" w:val="clear"/>
                <w:lang w:val="uk-UA" w:eastAsia="zh-CN" w:bidi="hi-IN"/>
              </w:rPr>
              <w:t xml:space="preserve">Оцінка ефективності організації роботи щодо </w:t>
            </w:r>
            <w:r>
              <w:rPr>
                <w:rFonts w:ascii="Times New Roman" w:hAnsi="Times New Roman"/>
                <w:color w:val="000000"/>
                <w:sz w:val="22"/>
                <w:szCs w:val="22"/>
                <w:shd w:fill="auto" w:val="clear"/>
                <w:lang w:val="uk-UA" w:eastAsia="zh-CN" w:bidi="hi-IN"/>
              </w:rPr>
              <w:t xml:space="preserve"> надання державної допомоги на проживання внутрішньо переміщеним особам</w:t>
            </w:r>
          </w:p>
          <w:p>
            <w:pPr>
              <w:pStyle w:val="Normal"/>
              <w:widowControl w:val="false"/>
              <w:spacing w:lineRule="auto" w:line="240" w:before="0" w:after="0"/>
              <w:jc w:val="center"/>
              <w:rPr>
                <w:shd w:fill="auto" w:val="clear"/>
              </w:rPr>
            </w:pPr>
            <w:r>
              <w:rPr>
                <w:shd w:fill="auto" w:val="clear"/>
              </w:rPr>
            </w:r>
          </w:p>
        </w:tc>
        <w:tc>
          <w:tcPr>
            <w:tcW w:w="2929"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 xml:space="preserve">Управління </w:t>
            </w:r>
            <w:r>
              <w:rPr>
                <w:rFonts w:cs="Times New Roman" w:ascii="Times New Roman" w:hAnsi="Times New Roman"/>
                <w:color w:val="000000"/>
                <w:sz w:val="22"/>
                <w:szCs w:val="22"/>
                <w:shd w:fill="auto" w:val="clear"/>
                <w:lang w:val="uk-UA" w:eastAsia="zh-CN" w:bidi="hi-IN"/>
              </w:rPr>
              <w:t>субсидій, пільг та державних соціальних допомог</w:t>
            </w:r>
            <w:r>
              <w:rPr>
                <w:rFonts w:ascii="Times New Roman" w:hAnsi="Times New Roman"/>
                <w:color w:val="000000"/>
                <w:sz w:val="22"/>
                <w:szCs w:val="22"/>
                <w:shd w:fill="auto" w:val="clear"/>
                <w:lang w:val="uk-UA" w:eastAsia="zh-CN" w:bidi="hi-IN"/>
              </w:rPr>
              <w:t>; управління обслуговування громадян; управління з питань виплат в Головному управлінні Пенсійного фонду України в Одеській області</w:t>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01.07.2025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ІV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shd w:fill="auto" w:val="clear"/>
                <w:lang w:val="uk-UA"/>
              </w:rPr>
              <w:t>7.</w:t>
            </w:r>
          </w:p>
        </w:tc>
        <w:tc>
          <w:tcPr>
            <w:tcW w:w="2744"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Оплата особам, постраждалим від наслідків аварії на Чорнобильській АЕС, додаткової відпустки строком 14 робочих днів (16 календарних днів)</w:t>
            </w:r>
          </w:p>
        </w:tc>
        <w:tc>
          <w:tcPr>
            <w:tcW w:w="3166"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113"/>
              <w:jc w:val="center"/>
              <w:rPr>
                <w:rFonts w:ascii="Times New Roman" w:hAnsi="Times New Roman"/>
                <w:sz w:val="22"/>
                <w:szCs w:val="22"/>
                <w:lang w:val="uk-UA" w:eastAsia="zh-CN" w:bidi="hi-IN"/>
              </w:rPr>
            </w:pPr>
            <w:r>
              <w:rPr>
                <w:rFonts w:eastAsia="Times New Roman" w:cs="Times New Roman" w:ascii="Times New Roman" w:hAnsi="Times New Roman"/>
                <w:color w:val="000000"/>
                <w:sz w:val="22"/>
                <w:szCs w:val="22"/>
                <w:shd w:fill="auto" w:val="clear"/>
                <w:lang w:val="uk-UA" w:eastAsia="zh-CN" w:bidi="hi-IN"/>
              </w:rPr>
              <w:t>Оцінка ефективності організації роботи щодо оплати особам, постраждалим від наслідків аварії на Чорнобильській АЕС, додаткової відпустки строком 14 робочих днів (16 календарних днів)</w:t>
            </w:r>
          </w:p>
          <w:p>
            <w:pPr>
              <w:pStyle w:val="Normal"/>
              <w:widowControl w:val="false"/>
              <w:spacing w:lineRule="auto" w:line="240" w:before="0" w:after="0"/>
              <w:jc w:val="center"/>
              <w:rPr>
                <w:shd w:fill="auto" w:val="clear"/>
              </w:rPr>
            </w:pPr>
            <w:r>
              <w:rPr>
                <w:shd w:fill="auto" w:val="clear"/>
              </w:rPr>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929"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 xml:space="preserve">Управління </w:t>
            </w:r>
            <w:r>
              <w:rPr>
                <w:rFonts w:cs="Times New Roman" w:ascii="Times New Roman" w:hAnsi="Times New Roman"/>
                <w:color w:val="000000"/>
                <w:sz w:val="22"/>
                <w:szCs w:val="22"/>
                <w:shd w:fill="auto" w:val="clear"/>
                <w:lang w:val="uk-UA" w:eastAsia="zh-CN" w:bidi="hi-IN"/>
              </w:rPr>
              <w:t>пенсійного забезпечення, надання страхових виплат та соціальних послуг;</w:t>
            </w:r>
            <w:r>
              <w:rPr>
                <w:rFonts w:ascii="Times New Roman" w:hAnsi="Times New Roman"/>
                <w:color w:val="000000"/>
                <w:sz w:val="22"/>
                <w:szCs w:val="22"/>
                <w:shd w:fill="auto" w:val="clear"/>
                <w:lang w:val="uk-UA" w:eastAsia="zh-CN" w:bidi="hi-IN"/>
              </w:rPr>
              <w:t xml:space="preserve"> управління обслуговування громадян; управління з питань виплат в Головному управлінні Пенсійного фонду України в Одеській області</w:t>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01.07.2025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ІІІ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shd w:fill="auto" w:val="clear"/>
                <w:lang w:val="uk-UA"/>
              </w:rPr>
              <w:t>10.</w:t>
            </w:r>
          </w:p>
        </w:tc>
        <w:tc>
          <w:tcPr>
            <w:tcW w:w="2744"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Організація роботи щодо реалізації експериментального проекту щодо надання субсидії на оплату вартості або частини вартості найму (оренди) житлового приміщення (частини житлового приміщення) та компенсації частини податку на доходи фізичних осіб або єдиного податку та військового збору</w:t>
            </w:r>
          </w:p>
        </w:tc>
        <w:tc>
          <w:tcPr>
            <w:tcW w:w="3166"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113"/>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 xml:space="preserve">Оцінка ефективності організації роботи </w:t>
            </w:r>
            <w:r>
              <w:rPr>
                <w:rFonts w:ascii="Times New Roman" w:hAnsi="Times New Roman"/>
                <w:color w:val="000000"/>
                <w:sz w:val="22"/>
                <w:szCs w:val="22"/>
                <w:shd w:fill="auto" w:val="clear"/>
                <w:lang w:val="uk-UA" w:eastAsia="zh-CN" w:bidi="hi-IN"/>
              </w:rPr>
              <w:t>щодо реалізації експериментального проекту щодо надання субсидії на оплату вартості або частини вартості найму (оренди) житлового приміщення (частини житлового приміщення) та компенсації частини податку на доходи фізичних осіб або єдиного податку та військового збору</w:t>
            </w:r>
          </w:p>
          <w:p>
            <w:pPr>
              <w:pStyle w:val="Normal"/>
              <w:widowControl w:val="false"/>
              <w:spacing w:lineRule="auto" w:line="240" w:before="0" w:after="0"/>
              <w:jc w:val="center"/>
              <w:rPr>
                <w:shd w:fill="auto" w:val="clear"/>
              </w:rPr>
            </w:pPr>
            <w:r>
              <w:rPr>
                <w:shd w:fill="auto" w:val="clear"/>
              </w:rPr>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929"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 xml:space="preserve">Управління </w:t>
            </w:r>
            <w:r>
              <w:rPr>
                <w:rFonts w:cs="Times New Roman" w:ascii="Times New Roman" w:hAnsi="Times New Roman"/>
                <w:color w:val="000000"/>
                <w:sz w:val="22"/>
                <w:szCs w:val="22"/>
                <w:shd w:fill="auto" w:val="clear"/>
                <w:lang w:val="uk-UA" w:eastAsia="zh-CN" w:bidi="hi-IN"/>
              </w:rPr>
              <w:t>субсидій, пільг та державних соціальних допомог</w:t>
            </w:r>
            <w:r>
              <w:rPr>
                <w:rFonts w:ascii="Times New Roman" w:hAnsi="Times New Roman"/>
                <w:color w:val="000000"/>
                <w:sz w:val="22"/>
                <w:szCs w:val="22"/>
                <w:shd w:fill="auto" w:val="clear"/>
                <w:lang w:val="uk-UA" w:eastAsia="zh-CN" w:bidi="hi-IN"/>
              </w:rPr>
              <w:t>; управління обслуговування громадян; управління з питань виплат в Головному управлінні Пенсійного фонду України в Одеській області</w:t>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01.01.2025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ІV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shd w:fill="auto" w:val="clear"/>
                <w:lang w:val="uk-UA"/>
              </w:rPr>
              <w:t>14.</w:t>
            </w:r>
          </w:p>
        </w:tc>
        <w:tc>
          <w:tcPr>
            <w:tcW w:w="2744"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Організація роботи щодо розгляду звернень  з питань, пов’язаних з діяльністю Пенсійного фонду України</w:t>
            </w:r>
          </w:p>
          <w:p>
            <w:pPr>
              <w:pStyle w:val="Normal"/>
              <w:widowControl w:val="false"/>
              <w:spacing w:lineRule="auto" w:line="240" w:before="0" w:after="0"/>
              <w:jc w:val="both"/>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3166"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113"/>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Оцінка ефективності організації роботи щодо розгляду письмових звернень громадян</w:t>
            </w:r>
          </w:p>
          <w:p>
            <w:pPr>
              <w:pStyle w:val="Normal"/>
              <w:widowControl w:val="false"/>
              <w:spacing w:lineRule="auto" w:line="240" w:before="0" w:after="113"/>
              <w:jc w:val="center"/>
              <w:rPr>
                <w:shd w:fill="auto" w:val="clear"/>
              </w:rPr>
            </w:pPr>
            <w:r>
              <w:rPr>
                <w:shd w:fill="auto" w:val="clear"/>
              </w:rPr>
            </w:r>
          </w:p>
        </w:tc>
        <w:tc>
          <w:tcPr>
            <w:tcW w:w="2929"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 xml:space="preserve">Управління обслуговування громадян; управління документального забезпечення </w:t>
            </w:r>
            <w:r>
              <w:rPr>
                <w:rFonts w:ascii="Times New Roman" w:hAnsi="Times New Roman"/>
                <w:color w:val="000000"/>
                <w:sz w:val="22"/>
                <w:szCs w:val="22"/>
                <w:shd w:fill="auto" w:val="clear"/>
                <w:lang w:val="uk-UA" w:eastAsia="zh-CN" w:bidi="hi-IN"/>
              </w:rPr>
              <w:t>в Головному управлінні Пенсійного фонду України в Одеській області</w:t>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01.01.2025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ІІ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suppressAutoHyphens w:val="true"/>
              <w:bidi w:val="0"/>
              <w:spacing w:before="0" w:after="0"/>
              <w:ind w:hanging="0" w:left="0" w:right="0"/>
              <w:jc w:val="center"/>
              <w:rPr>
                <w:rFonts w:ascii="Times New Roman" w:hAnsi="Times New Roman"/>
                <w:sz w:val="22"/>
                <w:szCs w:val="22"/>
              </w:rPr>
            </w:pPr>
            <w:r>
              <w:rPr>
                <w:rFonts w:cs="Times New Roman" w:ascii="Times New Roman" w:hAnsi="Times New Roman"/>
                <w:b w:val="false"/>
                <w:bCs w:val="false"/>
                <w:sz w:val="22"/>
                <w:szCs w:val="22"/>
                <w:lang w:val="uk-UA"/>
              </w:rPr>
              <w:t>18.</w:t>
            </w:r>
          </w:p>
        </w:tc>
        <w:tc>
          <w:tcPr>
            <w:tcW w:w="2744"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Використання коштів на утримання службових приміщень, транспортних засобів, оплату комунальних послуг та енергоносіїв</w:t>
            </w:r>
          </w:p>
        </w:tc>
        <w:tc>
          <w:tcPr>
            <w:tcW w:w="3166"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113"/>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 xml:space="preserve">Оцінка дотримання вимог законодавства при використанні коштів </w:t>
            </w:r>
            <w:r>
              <w:rPr>
                <w:rFonts w:ascii="Times New Roman" w:hAnsi="Times New Roman"/>
                <w:color w:val="000000"/>
                <w:sz w:val="22"/>
                <w:szCs w:val="22"/>
                <w:shd w:fill="auto" w:val="clear"/>
                <w:lang w:val="uk-UA" w:eastAsia="zh-CN" w:bidi="hi-IN"/>
              </w:rPr>
              <w:t>на утримання службових приміщень, транспортних засобів, оплаті комунальних послуг та енергоносіїв</w:t>
            </w:r>
          </w:p>
          <w:p>
            <w:pPr>
              <w:pStyle w:val="Normal"/>
              <w:widowControl w:val="false"/>
              <w:spacing w:lineRule="auto" w:line="240" w:before="0" w:after="0"/>
              <w:jc w:val="center"/>
              <w:rPr>
                <w:shd w:fill="auto" w:val="clear"/>
              </w:rPr>
            </w:pPr>
            <w:r>
              <w:rPr>
                <w:shd w:fill="auto" w:val="clear"/>
              </w:rPr>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929" w:type="dxa"/>
            <w:tcBorders>
              <w:left w:val="single" w:sz="4" w:space="0" w:color="595959"/>
              <w:bottom w:val="single" w:sz="4" w:space="0" w:color="595959"/>
              <w:right w:val="single" w:sz="4" w:space="0" w:color="595959"/>
            </w:tcBorders>
            <w:shd w:color="auto" w:fill="auto" w:val="clear"/>
          </w:tcPr>
          <w:p>
            <w:pPr>
              <w:pStyle w:val="Normal"/>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 xml:space="preserve">Фінансово-економічне управління; управління господарського обслуговування та матеріально-технічного забезпечення </w:t>
            </w:r>
            <w:r>
              <w:rPr>
                <w:rFonts w:ascii="Times New Roman" w:hAnsi="Times New Roman"/>
                <w:color w:val="000000"/>
                <w:sz w:val="22"/>
                <w:szCs w:val="22"/>
                <w:shd w:fill="auto" w:val="clear"/>
                <w:lang w:val="uk-UA" w:eastAsia="zh-CN" w:bidi="hi-IN"/>
              </w:rPr>
              <w:t>в Головному управлінні Пенсійного фонду України в Одеській області</w:t>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01.01.2025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ІІ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eastAsia="Times New Roman" w:cs="Times New Roman" w:ascii="Times New Roman" w:hAnsi="Times New Roman"/>
                <w:color w:val="000000"/>
                <w:sz w:val="22"/>
                <w:szCs w:val="22"/>
                <w:shd w:fill="auto" w:val="clear"/>
                <w:lang w:val="uk-UA"/>
              </w:rPr>
              <w:t>25.</w:t>
            </w:r>
          </w:p>
        </w:tc>
        <w:tc>
          <w:tcPr>
            <w:tcW w:w="2744"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Організація роботи щодо проведення перевірок правильності використання страхувальниками страхових коштів, обґрунтованості видачі та продовження листків непрацездатності та документів, що є підставою для їх формування, здійснення заходів з профілактики нещасних випадків на виробництві та професійних захворювань</w:t>
            </w:r>
          </w:p>
        </w:tc>
        <w:tc>
          <w:tcPr>
            <w:tcW w:w="3166"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113"/>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Оцінка ефективності організації роботи щодо проведення перевірок правильності використання страхувальниками страхових коштів, обґрунтованості видачі та продовження листків непрацездатності та документів, що є підставою для їх формування, здійснення заходів з профілактики нещасних випадків на виробництві та професійних захворювань</w:t>
            </w:r>
          </w:p>
          <w:p>
            <w:pPr>
              <w:pStyle w:val="Normal"/>
              <w:widowControl w:val="false"/>
              <w:spacing w:lineRule="auto" w:line="240" w:before="0" w:after="0"/>
              <w:jc w:val="center"/>
              <w:rPr>
                <w:shd w:fill="auto" w:val="clear"/>
              </w:rPr>
            </w:pPr>
            <w:r>
              <w:rPr>
                <w:shd w:fill="auto" w:val="clear"/>
              </w:rPr>
            </w:r>
          </w:p>
          <w:p>
            <w:pPr>
              <w:pStyle w:val="Normal"/>
              <w:widowControl w:val="false"/>
              <w:spacing w:lineRule="auto" w:line="240" w:before="0" w:after="0"/>
              <w:jc w:val="center"/>
              <w:rPr>
                <w:rFonts w:ascii="Times New Roman" w:hAnsi="Times New Roman"/>
                <w:sz w:val="22"/>
                <w:szCs w:val="22"/>
                <w:highlight w:val="none"/>
                <w:shd w:fill="auto" w:val="clear"/>
                <w:lang w:val="uk-UA" w:eastAsia="zh-CN" w:bidi="hi-IN"/>
              </w:rPr>
            </w:pPr>
            <w:r>
              <w:rPr>
                <w:rFonts w:ascii="Times New Roman" w:hAnsi="Times New Roman"/>
                <w:sz w:val="22"/>
                <w:szCs w:val="22"/>
                <w:shd w:fill="auto" w:val="clear"/>
                <w:lang w:val="uk-UA" w:eastAsia="zh-CN" w:bidi="hi-IN"/>
              </w:rPr>
            </w:r>
          </w:p>
        </w:tc>
        <w:tc>
          <w:tcPr>
            <w:tcW w:w="292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 xml:space="preserve">Управління контрольно-перевірочної роботи </w:t>
            </w:r>
            <w:r>
              <w:rPr>
                <w:rFonts w:ascii="Times New Roman" w:hAnsi="Times New Roman"/>
                <w:color w:val="000000"/>
                <w:sz w:val="22"/>
                <w:szCs w:val="22"/>
                <w:shd w:fill="auto" w:val="clear"/>
                <w:lang w:val="uk-UA" w:eastAsia="zh-CN" w:bidi="hi-IN"/>
              </w:rPr>
              <w:t>в Головному управлінні Пенсійного фонду України в Одеській області</w:t>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lang w:val="uk-UA"/>
              </w:rPr>
              <w:t>Управління внутрішнього аудиту</w:t>
            </w:r>
          </w:p>
          <w:p>
            <w:pPr>
              <w:pStyle w:val="Normal"/>
              <w:widowControl w:val="false"/>
              <w:jc w:val="center"/>
              <w:rPr>
                <w:rFonts w:ascii="Times New Roman" w:hAnsi="Times New Roman"/>
                <w:sz w:val="22"/>
                <w:szCs w:val="22"/>
              </w:rPr>
            </w:pPr>
            <w:r>
              <w:rPr>
                <w:rFonts w:ascii="Times New Roman" w:hAnsi="Times New Roman"/>
                <w:sz w:val="22"/>
                <w:szCs w:val="22"/>
                <w:lang w:val="uk-UA"/>
              </w:rPr>
              <w:t xml:space="preserve"> </w:t>
            </w:r>
            <w:r>
              <w:rPr>
                <w:rFonts w:ascii="Times New Roman" w:hAnsi="Times New Roman"/>
                <w:sz w:val="22"/>
                <w:szCs w:val="22"/>
                <w:lang w:val="uk-UA"/>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01.01.2025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 квартал</w:t>
            </w:r>
          </w:p>
        </w:tc>
      </w:tr>
      <w:tr>
        <w:trPr/>
        <w:tc>
          <w:tcPr>
            <w:tcW w:w="675" w:type="dxa"/>
            <w:tcBorders>
              <w:left w:val="single" w:sz="4" w:space="0" w:color="595959"/>
              <w:bottom w:val="single" w:sz="4" w:space="0" w:color="595959"/>
              <w:right w:val="single" w:sz="4" w:space="0" w:color="595959"/>
            </w:tcBorders>
            <w:shd w:color="auto" w:fill="auto" w:val="clear"/>
          </w:tcPr>
          <w:p>
            <w:pPr>
              <w:pStyle w:val="Normal"/>
              <w:widowControl w:val="false"/>
              <w:jc w:val="center"/>
              <w:rPr>
                <w:rFonts w:ascii="Times New Roman" w:hAnsi="Times New Roman"/>
                <w:sz w:val="22"/>
                <w:szCs w:val="22"/>
              </w:rPr>
            </w:pPr>
            <w:r>
              <w:rPr>
                <w:rFonts w:ascii="Times New Roman" w:hAnsi="Times New Roman"/>
                <w:sz w:val="22"/>
                <w:szCs w:val="22"/>
              </w:rPr>
              <w:t>27.</w:t>
            </w:r>
          </w:p>
        </w:tc>
        <w:tc>
          <w:tcPr>
            <w:tcW w:w="2744" w:type="dxa"/>
            <w:tcBorders>
              <w:left w:val="single" w:sz="4" w:space="0" w:color="595959"/>
              <w:bottom w:val="single" w:sz="4" w:space="0" w:color="595959"/>
              <w:right w:val="single" w:sz="4" w:space="0" w:color="595959"/>
            </w:tcBorders>
            <w:shd w:color="auto" w:fill="auto" w:val="clear"/>
          </w:tcPr>
          <w:p>
            <w:pPr>
              <w:pStyle w:val="Style16"/>
              <w:spacing w:lineRule="auto" w:line="240" w:before="0" w:after="0"/>
              <w:jc w:val="center"/>
              <w:rPr>
                <w:rFonts w:ascii="Times New Roman" w:hAnsi="Times New Roman"/>
                <w:sz w:val="22"/>
                <w:szCs w:val="22"/>
                <w:lang w:val="uk-UA" w:eastAsia="zh-CN" w:bidi="hi-IN"/>
              </w:rPr>
            </w:pPr>
            <w:r>
              <w:rPr>
                <w:rFonts w:ascii="Times New Roman" w:hAnsi="Times New Roman"/>
                <w:color w:val="000000"/>
                <w:sz w:val="22"/>
                <w:szCs w:val="22"/>
                <w:shd w:fill="auto" w:val="clear"/>
                <w:lang w:val="uk-UA" w:eastAsia="zh-CN" w:bidi="hi-IN"/>
              </w:rPr>
              <w:t>Документування управлінської інформації, організація роботи з документами та контролю за виконанням завдань</w:t>
            </w:r>
          </w:p>
        </w:tc>
        <w:tc>
          <w:tcPr>
            <w:tcW w:w="3166"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113"/>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Оцінка ефективності організації роботи щодо д</w:t>
            </w:r>
            <w:r>
              <w:rPr>
                <w:rFonts w:ascii="Times New Roman" w:hAnsi="Times New Roman"/>
                <w:color w:val="000000"/>
                <w:sz w:val="22"/>
                <w:szCs w:val="22"/>
                <w:shd w:fill="auto" w:val="clear"/>
                <w:lang w:val="uk-UA" w:eastAsia="zh-CN" w:bidi="hi-IN"/>
              </w:rPr>
              <w:t>окументування управлінської інформації та внутрішнього контролю за виконанням завдань</w:t>
            </w:r>
          </w:p>
          <w:p>
            <w:pPr>
              <w:pStyle w:val="Normal"/>
              <w:widowControl w:val="false"/>
              <w:spacing w:lineRule="auto" w:line="240" w:before="0" w:after="0"/>
              <w:jc w:val="center"/>
              <w:rPr>
                <w:shd w:fill="auto" w:val="clear"/>
              </w:rPr>
            </w:pPr>
            <w:r>
              <w:rPr>
                <w:shd w:fill="auto" w:val="clear"/>
              </w:rPr>
            </w:r>
          </w:p>
        </w:tc>
        <w:tc>
          <w:tcPr>
            <w:tcW w:w="292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 xml:space="preserve">Управління документального забезпечення </w:t>
            </w:r>
            <w:r>
              <w:rPr>
                <w:rFonts w:ascii="Times New Roman" w:hAnsi="Times New Roman"/>
                <w:color w:val="000000"/>
                <w:sz w:val="22"/>
                <w:szCs w:val="22"/>
                <w:shd w:fill="auto" w:val="clear"/>
                <w:lang w:val="uk-UA" w:eastAsia="zh-CN" w:bidi="hi-IN"/>
              </w:rPr>
              <w:t>в Головному управлінні Пенсійного фонду України в Одеській області</w:t>
            </w:r>
          </w:p>
        </w:tc>
        <w:tc>
          <w:tcPr>
            <w:tcW w:w="2159" w:type="dxa"/>
            <w:tcBorders>
              <w:left w:val="single" w:sz="4" w:space="0" w:color="595959"/>
              <w:bottom w:val="single" w:sz="4" w:space="0" w:color="595959"/>
            </w:tcBorders>
            <w:shd w:color="auto" w:fill="auto" w:val="clear"/>
          </w:tcPr>
          <w:p>
            <w:pPr>
              <w:pStyle w:val="Normal"/>
              <w:widowControl w:val="false"/>
              <w:jc w:val="center"/>
              <w:rPr>
                <w:rFonts w:ascii="Times New Roman" w:hAnsi="Times New Roman"/>
                <w:sz w:val="22"/>
                <w:szCs w:val="22"/>
                <w:lang w:val="uk-UA" w:eastAsia="zh-CN" w:bidi="hi-IN"/>
              </w:rPr>
            </w:pPr>
            <w:r>
              <w:rPr>
                <w:rFonts w:ascii="Times New Roman" w:hAnsi="Times New Roman"/>
                <w:sz w:val="22"/>
                <w:szCs w:val="22"/>
                <w:lang w:val="uk-UA" w:eastAsia="zh-CN" w:bidi="hi-IN"/>
              </w:rPr>
              <w:t>Управління внутрішнього аудиту</w:t>
            </w:r>
          </w:p>
          <w:p>
            <w:pPr>
              <w:pStyle w:val="Normal"/>
              <w:widowControl w:val="false"/>
              <w:jc w:val="center"/>
              <w:rPr>
                <w:rFonts w:ascii="Times New Roman" w:hAnsi="Times New Roman"/>
                <w:sz w:val="22"/>
                <w:szCs w:val="22"/>
                <w:lang w:val="uk-UA" w:eastAsia="zh-CN" w:bidi="hi-IN"/>
              </w:rPr>
            </w:pPr>
            <w:r>
              <w:rPr>
                <w:rFonts w:ascii="Times New Roman" w:hAnsi="Times New Roman"/>
                <w:sz w:val="22"/>
                <w:szCs w:val="22"/>
                <w:lang w:val="uk-UA" w:eastAsia="zh-CN" w:bidi="hi-IN"/>
              </w:rPr>
              <w:t xml:space="preserve"> </w:t>
            </w:r>
            <w:r>
              <w:rPr>
                <w:rFonts w:ascii="Times New Roman" w:hAnsi="Times New Roman"/>
                <w:sz w:val="22"/>
                <w:szCs w:val="22"/>
                <w:lang w:val="uk-UA" w:eastAsia="zh-CN" w:bidi="hi-IN"/>
              </w:rPr>
              <w:t>в Головному управлінні Пенсійного фонду України в Одеській області</w:t>
            </w:r>
          </w:p>
        </w:tc>
        <w:tc>
          <w:tcPr>
            <w:tcW w:w="1589"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З 01.01.2025 по завершений місяць 2026 року</w:t>
            </w:r>
          </w:p>
        </w:tc>
        <w:tc>
          <w:tcPr>
            <w:tcW w:w="1288" w:type="dxa"/>
            <w:tcBorders>
              <w:left w:val="single" w:sz="4" w:space="0" w:color="595959"/>
              <w:bottom w:val="single" w:sz="4" w:space="0" w:color="595959"/>
              <w:right w:val="single" w:sz="4" w:space="0" w:color="595959"/>
            </w:tcBorders>
            <w:shd w:color="auto" w:fill="auto" w:val="clear"/>
          </w:tcPr>
          <w:p>
            <w:pPr>
              <w:pStyle w:val="Normal"/>
              <w:widowControl w:val="false"/>
              <w:spacing w:lineRule="auto" w:line="240" w:before="0" w:after="0"/>
              <w:jc w:val="center"/>
              <w:rPr>
                <w:rFonts w:ascii="Times New Roman" w:hAnsi="Times New Roman"/>
                <w:sz w:val="22"/>
                <w:szCs w:val="22"/>
                <w:lang w:val="uk-UA" w:eastAsia="zh-CN" w:bidi="hi-IN"/>
              </w:rPr>
            </w:pPr>
            <w:r>
              <w:rPr>
                <w:rFonts w:ascii="Times New Roman" w:hAnsi="Times New Roman"/>
                <w:sz w:val="22"/>
                <w:szCs w:val="22"/>
                <w:shd w:fill="auto" w:val="clear"/>
                <w:lang w:val="uk-UA" w:eastAsia="zh-CN" w:bidi="hi-IN"/>
              </w:rPr>
              <w:t>І квартал</w:t>
            </w:r>
          </w:p>
        </w:tc>
      </w:tr>
    </w:tbl>
    <w:p>
      <w:pPr>
        <w:pStyle w:val="Normal"/>
        <w:spacing w:before="0" w:after="0"/>
        <w:ind w:hanging="0"/>
        <w:jc w:val="both"/>
        <w:rPr>
          <w:rFonts w:ascii="Times New Roman" w:hAnsi="Times New Roman" w:eastAsia="Times New Roman" w:cs="Times New Roman"/>
          <w:b/>
          <w:bCs/>
          <w:sz w:val="24"/>
          <w:szCs w:val="24"/>
          <w:lang w:val="uk-UA"/>
        </w:rPr>
      </w:pPr>
      <w:r>
        <w:rPr>
          <w:rFonts w:eastAsia="Times New Roman" w:cs="Times New Roman" w:ascii="Times New Roman" w:hAnsi="Times New Roman"/>
          <w:b/>
          <w:bCs/>
          <w:sz w:val="24"/>
          <w:szCs w:val="24"/>
          <w:lang w:val="uk-UA"/>
        </w:rPr>
      </w:r>
    </w:p>
    <w:p>
      <w:pPr>
        <w:pStyle w:val="Normal"/>
        <w:widowControl/>
        <w:suppressAutoHyphens w:val="true"/>
        <w:bidi w:val="0"/>
        <w:spacing w:before="0" w:after="0"/>
        <w:ind w:hanging="0" w:left="113" w:right="0"/>
        <w:jc w:val="center"/>
        <w:rPr>
          <w:rFonts w:ascii="Times New Roman" w:hAnsi="Times New Roman" w:eastAsia="Times New Roman" w:cs="Times New Roman"/>
          <w:sz w:val="32"/>
          <w:szCs w:val="32"/>
        </w:rPr>
      </w:pPr>
      <w:r>
        <w:rPr/>
        <w:t>____________________________________________________________________________________________</w:t>
      </w:r>
    </w:p>
    <w:sectPr>
      <w:type w:val="nextPage"/>
      <w:pgSz w:orient="landscape" w:w="16838" w:h="11906"/>
      <w:pgMar w:left="1701" w:right="567" w:gutter="0" w:header="0" w:top="1020" w:footer="0" w:bottom="10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Light">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10"/>
  <w:defaultTabStop w:val="709"/>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Cs w:val="24"/>
        <w:lang w:val="en-US"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SimSun" w:cs="Mangal"/>
      <w:color w:val="auto"/>
      <w:kern w:val="2"/>
      <w:sz w:val="24"/>
      <w:szCs w:val="24"/>
      <w:lang w:val="en-US" w:eastAsia="zh-CN" w:bidi="hi-IN"/>
    </w:rPr>
  </w:style>
  <w:style w:type="paragraph" w:styleId="Heading2">
    <w:name w:val="heading 2"/>
    <w:basedOn w:val="Normal"/>
    <w:next w:val="Normal"/>
    <w:qFormat/>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E74B5"/>
      <w:sz w:val="26"/>
      <w:szCs w:val="26"/>
    </w:rPr>
  </w:style>
  <w:style w:type="character" w:styleId="DefaultParagraphFont" w:default="1">
    <w:name w:val="Default Paragraph Font"/>
    <w:uiPriority w:val="1"/>
    <w:semiHidden/>
    <w:unhideWhenUsed/>
    <w:qFormat/>
    <w:rPr/>
  </w:style>
  <w:style w:type="paragraph" w:styleId="Style13" w:customStyle="1">
    <w:name w:val="Заголовок"/>
    <w:basedOn w:val="Normal"/>
    <w:next w:val="BodyText"/>
    <w:qFormat/>
    <w:pPr>
      <w:keepNext w:val="true"/>
      <w:spacing w:before="240" w:after="120"/>
    </w:pPr>
    <w:rPr>
      <w:rFonts w:ascii="Liberation Sans" w:hAnsi="Liberation Sans" w:eastAsia="Microsoft YaHei"/>
      <w:sz w:val="28"/>
      <w:szCs w:val="28"/>
    </w:rPr>
  </w:style>
  <w:style w:type="paragraph" w:styleId="BodyText">
    <w:name w:val="Body Text"/>
    <w:basedOn w:val="Normal"/>
    <w:pPr>
      <w:spacing w:lineRule="auto" w:line="288" w:before="0" w:after="140"/>
    </w:pPr>
    <w:rPr/>
  </w:style>
  <w:style w:type="paragraph" w:styleId="List">
    <w:name w:val="List"/>
    <w:basedOn w:val="BodyText"/>
    <w:pPr/>
    <w:rPr/>
  </w:style>
  <w:style w:type="paragraph" w:styleId="Caption">
    <w:name w:val="caption"/>
    <w:basedOn w:val="Normal"/>
    <w:qFormat/>
    <w:pPr>
      <w:suppressLineNumbers/>
      <w:spacing w:before="120" w:after="120"/>
    </w:pPr>
    <w:rPr>
      <w:rFonts w:cs="Arial"/>
      <w:i/>
      <w:iCs/>
      <w:sz w:val="24"/>
      <w:szCs w:val="24"/>
    </w:rPr>
  </w:style>
  <w:style w:type="paragraph" w:styleId="Style14" w:customStyle="1">
    <w:name w:val="Покажчик"/>
    <w:basedOn w:val="Normal"/>
    <w:qFormat/>
    <w:pPr>
      <w:suppressLineNumbers/>
    </w:pPr>
    <w:rPr/>
  </w:style>
  <w:style w:type="paragraph" w:styleId="user">
    <w:name w:val="Заголовок (user)"/>
    <w:basedOn w:val="Normal"/>
    <w:next w:val="BodyText"/>
    <w:qFormat/>
    <w:pPr>
      <w:keepNext w:val="true"/>
      <w:spacing w:before="240" w:after="120"/>
    </w:pPr>
    <w:rPr>
      <w:rFonts w:ascii="Liberation Sans" w:hAnsi="Liberation Sans" w:eastAsia="Microsoft YaHei" w:cs="Arial"/>
      <w:sz w:val="28"/>
      <w:szCs w:val="28"/>
    </w:rPr>
  </w:style>
  <w:style w:type="paragraph" w:styleId="user1">
    <w:name w:val="Покажчик (user)"/>
    <w:basedOn w:val="Normal"/>
    <w:qFormat/>
    <w:pPr>
      <w:suppressLineNumbers/>
    </w:pPr>
    <w:rPr>
      <w:rFonts w:cs="Arial"/>
    </w:rPr>
  </w:style>
  <w:style w:type="paragraph" w:styleId="caption1">
    <w:name w:val="caption1"/>
    <w:basedOn w:val="Normal"/>
    <w:qFormat/>
    <w:pPr>
      <w:suppressLineNumbers/>
      <w:spacing w:before="120" w:after="120"/>
    </w:pPr>
    <w:rPr>
      <w:i/>
      <w:iCs/>
    </w:rPr>
  </w:style>
  <w:style w:type="paragraph" w:styleId="Style15" w:customStyle="1">
    <w:name w:val="Верхній і нижній колонтитули"/>
    <w:basedOn w:val="Normal"/>
    <w:qFormat/>
    <w:pPr/>
    <w:rPr/>
  </w:style>
  <w:style w:type="paragraph" w:styleId="user2">
    <w:name w:val="Верхній і нижній колонтитули (user)"/>
    <w:basedOn w:val="Normal"/>
    <w:qFormat/>
    <w:pPr/>
    <w:rPr/>
  </w:style>
  <w:style w:type="paragraph" w:styleId="Header">
    <w:name w:val="header"/>
    <w:basedOn w:val="Normal"/>
    <w:pPr>
      <w:tabs>
        <w:tab w:val="clear" w:pos="709"/>
        <w:tab w:val="center" w:pos="4680" w:leader="none"/>
        <w:tab w:val="right" w:pos="9360" w:leader="none"/>
      </w:tabs>
    </w:pPr>
    <w:rPr/>
  </w:style>
  <w:style w:type="paragraph" w:styleId="Footer">
    <w:name w:val="footer"/>
    <w:basedOn w:val="Normal"/>
    <w:pPr>
      <w:tabs>
        <w:tab w:val="clear" w:pos="709"/>
        <w:tab w:val="center" w:pos="4680" w:leader="none"/>
        <w:tab w:val="right" w:pos="9360" w:leader="none"/>
      </w:tabs>
    </w:pPr>
    <w:rPr/>
  </w:style>
  <w:style w:type="paragraph" w:styleId="ListParagraph">
    <w:name w:val="List Paragraph"/>
    <w:basedOn w:val="Normal"/>
    <w:uiPriority w:val="34"/>
    <w:qFormat/>
    <w:rsid w:val="00ca3dea"/>
    <w:pPr>
      <w:spacing w:before="0" w:after="0"/>
      <w:ind w:hanging="0" w:left="720"/>
      <w:contextualSpacing/>
    </w:pPr>
    <w:rPr>
      <w:szCs w:val="21"/>
    </w:rPr>
  </w:style>
  <w:style w:type="paragraph" w:styleId="Style16">
    <w:name w:val="Вміст таблиці"/>
    <w:basedOn w:val="Normal"/>
    <w:qFormat/>
    <w:pPr>
      <w:widowControl w:val="false"/>
      <w:suppressLineNumbers/>
    </w:pPr>
    <w:rPr/>
  </w:style>
  <w:style w:type="paragraph" w:styleId="Style17">
    <w:name w:val="Заголовок таблиці"/>
    <w:basedOn w:val="Style16"/>
    <w:qFormat/>
    <w:pPr>
      <w:suppressLineNumbers/>
      <w:jc w:val="center"/>
    </w:pPr>
    <w:rPr>
      <w:b/>
      <w:bCs/>
    </w:rPr>
  </w:style>
  <w:style w:type="numbering" w:styleId="user3" w:default="1">
    <w:name w:val="Без маркерів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BCA41-6DBD-4F27-B918-B2DD8CE7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Application>LibreOffice/25.8.2.1$Windows_X86_64 LibreOffice_project/345526217a4027cb1b9ab39bd7153c8c141a1d64</Application>
  <AppVersion>15.0000</AppVersion>
  <Pages>3</Pages>
  <Words>780</Words>
  <Characters>5739</Characters>
  <CharactersWithSpaces>6448</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2022-12-03T13:43:00Z</dcterms:created>
  <dc:creator>MacBook</dc:creator>
  <dc:description/>
  <dc:language>uk-UA</dc:language>
  <cp:lastModifiedBy/>
  <cp:lastPrinted>2026-01-07T12:56:13Z</cp:lastPrinted>
  <dcterms:modified xsi:type="dcterms:W3CDTF">2026-01-07T13:08:20Z</dcterms:modified>
  <cp:revision>210</cp:revision>
  <dc:subject/>
  <dc:title/>
</cp:coreProperties>
</file>

<file path=docProps/custom.xml><?xml version="1.0" encoding="utf-8"?>
<Properties xmlns="http://schemas.openxmlformats.org/officeDocument/2006/custom-properties" xmlns:vt="http://schemas.openxmlformats.org/officeDocument/2006/docPropsVTypes"/>
</file>